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ECE26" w14:textId="77777777" w:rsidR="00650FAB" w:rsidRDefault="00E96103">
      <w:pPr>
        <w:tabs>
          <w:tab w:val="left" w:pos="5898"/>
        </w:tabs>
        <w:spacing w:before="180"/>
        <w:ind w:left="1963"/>
        <w:rPr>
          <w:rFonts w:ascii="Perpetua"/>
          <w:b/>
          <w:sz w:val="24"/>
        </w:rPr>
      </w:pPr>
      <w:r>
        <w:rPr>
          <w:rFonts w:ascii="Perpetua"/>
          <w:b/>
          <w:noProof/>
          <w:sz w:val="24"/>
        </w:rPr>
        <mc:AlternateContent>
          <mc:Choice Requires="wpg">
            <w:drawing>
              <wp:anchor distT="0" distB="0" distL="0" distR="0" simplePos="0" relativeHeight="487545856" behindDoc="1" locked="0" layoutInCell="1" allowOverlap="1" wp14:anchorId="66FF423B" wp14:editId="699CC4BF">
                <wp:simplePos x="0" y="0"/>
                <wp:positionH relativeFrom="page">
                  <wp:posOffset>658365</wp:posOffset>
                </wp:positionH>
                <wp:positionV relativeFrom="page">
                  <wp:posOffset>682756</wp:posOffset>
                </wp:positionV>
                <wp:extent cx="6840855" cy="10852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855" cy="1085215"/>
                          <a:chOff x="0" y="0"/>
                          <a:chExt cx="6840855" cy="1085215"/>
                        </a:xfrm>
                      </wpg:grpSpPr>
                      <pic:pic xmlns:pic="http://schemas.openxmlformats.org/drawingml/2006/picture">
                        <pic:nvPicPr>
                          <pic:cNvPr id="2" name="Image 2"/>
                          <pic:cNvPicPr/>
                        </pic:nvPicPr>
                        <pic:blipFill>
                          <a:blip r:embed="rId7" cstate="print"/>
                          <a:stretch>
                            <a:fillRect/>
                          </a:stretch>
                        </pic:blipFill>
                        <pic:spPr>
                          <a:xfrm>
                            <a:off x="0" y="0"/>
                            <a:ext cx="1002670" cy="1085203"/>
                          </a:xfrm>
                          <a:prstGeom prst="rect">
                            <a:avLst/>
                          </a:prstGeom>
                        </pic:spPr>
                      </pic:pic>
                      <wps:wsp>
                        <wps:cNvPr id="3" name="Graphic 3"/>
                        <wps:cNvSpPr/>
                        <wps:spPr>
                          <a:xfrm>
                            <a:off x="949454" y="71623"/>
                            <a:ext cx="5886450" cy="323850"/>
                          </a:xfrm>
                          <a:custGeom>
                            <a:avLst/>
                            <a:gdLst/>
                            <a:ahLst/>
                            <a:cxnLst/>
                            <a:rect l="l" t="t" r="r" b="b"/>
                            <a:pathLst>
                              <a:path w="5886450" h="323850">
                                <a:moveTo>
                                  <a:pt x="0" y="323850"/>
                                </a:moveTo>
                                <a:lnTo>
                                  <a:pt x="5886450" y="323850"/>
                                </a:lnTo>
                                <a:lnTo>
                                  <a:pt x="5886450" y="0"/>
                                </a:lnTo>
                                <a:lnTo>
                                  <a:pt x="0" y="0"/>
                                </a:lnTo>
                                <a:lnTo>
                                  <a:pt x="0" y="323850"/>
                                </a:lnTo>
                                <a:close/>
                              </a:path>
                            </a:pathLst>
                          </a:custGeom>
                          <a:ln w="9525">
                            <a:solidFill>
                              <a:srgbClr val="FFFFFF"/>
                            </a:solidFill>
                            <a:prstDash val="solid"/>
                          </a:ln>
                        </wps:spPr>
                        <wps:bodyPr wrap="square" lIns="0" tIns="0" rIns="0" bIns="0" rtlCol="0">
                          <a:prstTxWarp prst="textNoShape">
                            <a:avLst/>
                          </a:prstTxWarp>
                          <a:noAutofit/>
                        </wps:bodyPr>
                      </wps:wsp>
                      <wps:wsp>
                        <wps:cNvPr id="4" name="Graphic 4"/>
                        <wps:cNvSpPr/>
                        <wps:spPr>
                          <a:xfrm>
                            <a:off x="979934" y="395473"/>
                            <a:ext cx="5554980" cy="1270"/>
                          </a:xfrm>
                          <a:custGeom>
                            <a:avLst/>
                            <a:gdLst/>
                            <a:ahLst/>
                            <a:cxnLst/>
                            <a:rect l="l" t="t" r="r" b="b"/>
                            <a:pathLst>
                              <a:path w="5554980">
                                <a:moveTo>
                                  <a:pt x="0" y="0"/>
                                </a:moveTo>
                                <a:lnTo>
                                  <a:pt x="5554980"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6612A1" id="Group 1" o:spid="_x0000_s1026" style="position:absolute;margin-left:51.85pt;margin-top:53.75pt;width:538.65pt;height:85.45pt;z-index:-15770624;mso-wrap-distance-left:0;mso-wrap-distance-right:0;mso-position-horizontal-relative:page;mso-position-vertical-relative:page" coordsize="68408,10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0026;height:10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">
                  <v:imagedata r:id="rId8" o:title=""/>
                </v:shape>
                <v:shape id="Graphic 3" o:spid="_x0000_s1028" style="position:absolute;left:9494;top:716;width:58865;height:3238;visibility:visible;mso-wrap-style:square;v-text-anchor:top" coordsize="58864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" path="m,323850r5886450,l5886450,,,,,323850xe" filled="f" strokecolor="white">
                  <v:path arrowok="t"/>
                </v:shape>
                <v:shape id="Graphic 4" o:spid="_x0000_s1029" style="position:absolute;left:9799;top:3954;width:55550;height:13;visibility:visible;mso-wrap-style:square;v-text-anchor:top" coordsize="5554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" path="m,l5554980,e" filled="f" strokeweight="1.5pt">
                  <v:path arrowok="t"/>
                </v:shape>
                <w10:wrap anchorx="page" anchory="page"/>
              </v:group>
            </w:pict>
          </mc:Fallback>
        </mc:AlternateContent>
      </w:r>
      <w:r>
        <w:rPr>
          <w:rFonts w:ascii="Perpetua"/>
          <w:b/>
          <w:sz w:val="36"/>
        </w:rPr>
        <w:t>STATE</w:t>
      </w:r>
      <w:r>
        <w:rPr>
          <w:rFonts w:ascii="Perpetua"/>
          <w:b/>
          <w:spacing w:val="-1"/>
          <w:sz w:val="36"/>
        </w:rPr>
        <w:t xml:space="preserve"> </w:t>
      </w:r>
      <w:r>
        <w:rPr>
          <w:rFonts w:ascii="Perpetua"/>
          <w:b/>
          <w:sz w:val="36"/>
        </w:rPr>
        <w:t xml:space="preserve">OF </w:t>
      </w:r>
      <w:r>
        <w:rPr>
          <w:rFonts w:ascii="Perpetua"/>
          <w:b/>
          <w:spacing w:val="-2"/>
          <w:sz w:val="36"/>
        </w:rPr>
        <w:t>INDIANA</w:t>
      </w:r>
      <w:r>
        <w:rPr>
          <w:rFonts w:ascii="Perpetua"/>
          <w:b/>
          <w:sz w:val="36"/>
        </w:rPr>
        <w:tab/>
      </w:r>
      <w:r>
        <w:rPr>
          <w:rFonts w:ascii="Perpetua"/>
          <w:b/>
          <w:sz w:val="24"/>
        </w:rPr>
        <w:t>DEPARTMENT</w:t>
      </w:r>
      <w:r>
        <w:rPr>
          <w:rFonts w:ascii="Perpetua"/>
          <w:b/>
          <w:spacing w:val="-5"/>
          <w:sz w:val="24"/>
        </w:rPr>
        <w:t xml:space="preserve"> </w:t>
      </w:r>
      <w:r>
        <w:rPr>
          <w:rFonts w:ascii="Perpetua"/>
          <w:b/>
          <w:sz w:val="24"/>
        </w:rPr>
        <w:t>OF</w:t>
      </w:r>
      <w:r>
        <w:rPr>
          <w:rFonts w:ascii="Perpetua"/>
          <w:b/>
          <w:spacing w:val="-1"/>
          <w:sz w:val="24"/>
        </w:rPr>
        <w:t xml:space="preserve"> </w:t>
      </w:r>
      <w:r>
        <w:rPr>
          <w:rFonts w:ascii="Perpetua"/>
          <w:b/>
          <w:sz w:val="24"/>
        </w:rPr>
        <w:t>FINANCIAL</w:t>
      </w:r>
      <w:r>
        <w:rPr>
          <w:rFonts w:ascii="Perpetua"/>
          <w:b/>
          <w:spacing w:val="-4"/>
          <w:sz w:val="24"/>
        </w:rPr>
        <w:t xml:space="preserve"> </w:t>
      </w:r>
      <w:r>
        <w:rPr>
          <w:rFonts w:ascii="Perpetua"/>
          <w:b/>
          <w:spacing w:val="-2"/>
          <w:sz w:val="24"/>
        </w:rPr>
        <w:t>INSTITUTIONS</w:t>
      </w:r>
    </w:p>
    <w:p w14:paraId="6AE7598D" w14:textId="77777777" w:rsidR="00650FAB" w:rsidRDefault="00E96103">
      <w:pPr>
        <w:spacing w:before="99" w:line="197" w:lineRule="exact"/>
        <w:ind w:right="173"/>
        <w:jc w:val="right"/>
        <w:rPr>
          <w:rFonts w:ascii="Copperplate Gothic Light"/>
          <w:sz w:val="18"/>
        </w:rPr>
      </w:pPr>
      <w:r>
        <w:rPr>
          <w:rFonts w:ascii="Copperplate Gothic Light"/>
          <w:sz w:val="18"/>
        </w:rPr>
        <w:t>30</w:t>
      </w:r>
      <w:r>
        <w:rPr>
          <w:rFonts w:ascii="Copperplate Gothic Light"/>
          <w:spacing w:val="-3"/>
          <w:sz w:val="18"/>
        </w:rPr>
        <w:t xml:space="preserve"> </w:t>
      </w:r>
      <w:r>
        <w:rPr>
          <w:rFonts w:ascii="Copperplate Gothic Light"/>
          <w:sz w:val="18"/>
        </w:rPr>
        <w:t>South</w:t>
      </w:r>
      <w:r>
        <w:rPr>
          <w:rFonts w:ascii="Copperplate Gothic Light"/>
          <w:spacing w:val="-2"/>
          <w:sz w:val="18"/>
        </w:rPr>
        <w:t xml:space="preserve"> </w:t>
      </w:r>
      <w:r>
        <w:rPr>
          <w:rFonts w:ascii="Copperplate Gothic Light"/>
          <w:sz w:val="18"/>
        </w:rPr>
        <w:t>Meridian</w:t>
      </w:r>
      <w:r>
        <w:rPr>
          <w:rFonts w:ascii="Copperplate Gothic Light"/>
          <w:spacing w:val="-2"/>
          <w:sz w:val="18"/>
        </w:rPr>
        <w:t xml:space="preserve"> </w:t>
      </w:r>
      <w:r>
        <w:rPr>
          <w:rFonts w:ascii="Copperplate Gothic Light"/>
          <w:spacing w:val="-5"/>
          <w:sz w:val="18"/>
        </w:rPr>
        <w:t>St.</w:t>
      </w:r>
    </w:p>
    <w:p w14:paraId="48635695" w14:textId="77777777" w:rsidR="00650FAB" w:rsidRDefault="00E96103">
      <w:pPr>
        <w:ind w:left="8639" w:right="171" w:firstLine="1046"/>
        <w:jc w:val="right"/>
        <w:rPr>
          <w:rFonts w:ascii="Copperplate Gothic Light"/>
          <w:sz w:val="18"/>
        </w:rPr>
      </w:pPr>
      <w:r>
        <w:rPr>
          <w:rFonts w:ascii="Copperplate Gothic Light"/>
          <w:sz w:val="18"/>
        </w:rPr>
        <w:t>Suite</w:t>
      </w:r>
      <w:r>
        <w:rPr>
          <w:rFonts w:ascii="Copperplate Gothic Light"/>
          <w:spacing w:val="-12"/>
          <w:sz w:val="18"/>
        </w:rPr>
        <w:t xml:space="preserve"> </w:t>
      </w:r>
      <w:r>
        <w:rPr>
          <w:rFonts w:ascii="Copperplate Gothic Light"/>
          <w:sz w:val="18"/>
        </w:rPr>
        <w:t>200 Indianapolis,</w:t>
      </w:r>
      <w:r>
        <w:rPr>
          <w:rFonts w:ascii="Copperplate Gothic Light"/>
          <w:spacing w:val="-5"/>
          <w:sz w:val="18"/>
        </w:rPr>
        <w:t xml:space="preserve"> </w:t>
      </w:r>
      <w:r>
        <w:rPr>
          <w:rFonts w:ascii="Copperplate Gothic Light"/>
          <w:spacing w:val="-2"/>
          <w:sz w:val="18"/>
        </w:rPr>
        <w:t>Indiana</w:t>
      </w:r>
    </w:p>
    <w:p w14:paraId="25FD5C62" w14:textId="77777777" w:rsidR="00650FAB" w:rsidRDefault="00E96103">
      <w:pPr>
        <w:spacing w:line="197" w:lineRule="exact"/>
        <w:ind w:right="173"/>
        <w:jc w:val="right"/>
        <w:rPr>
          <w:rFonts w:ascii="Copperplate Gothic Light"/>
          <w:sz w:val="18"/>
        </w:rPr>
      </w:pPr>
      <w:r>
        <w:rPr>
          <w:rFonts w:ascii="Copperplate Gothic Light"/>
          <w:spacing w:val="-2"/>
          <w:sz w:val="18"/>
        </w:rPr>
        <w:t>46204-</w:t>
      </w:r>
      <w:r>
        <w:rPr>
          <w:rFonts w:ascii="Copperplate Gothic Light"/>
          <w:spacing w:val="-4"/>
          <w:sz w:val="18"/>
        </w:rPr>
        <w:t>2759</w:t>
      </w:r>
    </w:p>
    <w:p w14:paraId="03CDF5AB" w14:textId="77777777" w:rsidR="00650FAB" w:rsidRDefault="00E96103">
      <w:pPr>
        <w:spacing w:line="197" w:lineRule="exact"/>
        <w:ind w:right="171"/>
        <w:jc w:val="right"/>
        <w:rPr>
          <w:rFonts w:ascii="Copperplate Gothic Light"/>
          <w:sz w:val="18"/>
        </w:rPr>
      </w:pPr>
      <w:r>
        <w:rPr>
          <w:rFonts w:ascii="Copperplate Gothic Light"/>
          <w:sz w:val="18"/>
        </w:rPr>
        <w:t>(317)</w:t>
      </w:r>
      <w:r>
        <w:rPr>
          <w:rFonts w:ascii="Copperplate Gothic Light"/>
          <w:spacing w:val="-1"/>
          <w:sz w:val="18"/>
        </w:rPr>
        <w:t xml:space="preserve"> </w:t>
      </w:r>
      <w:r>
        <w:rPr>
          <w:rFonts w:ascii="Copperplate Gothic Light"/>
          <w:sz w:val="18"/>
        </w:rPr>
        <w:t>232-</w:t>
      </w:r>
      <w:r>
        <w:rPr>
          <w:rFonts w:ascii="Copperplate Gothic Light"/>
          <w:spacing w:val="-4"/>
          <w:sz w:val="18"/>
        </w:rPr>
        <w:t>3955</w:t>
      </w:r>
    </w:p>
    <w:p w14:paraId="0F566157" w14:textId="77777777" w:rsidR="00650FAB" w:rsidRDefault="00E96103">
      <w:pPr>
        <w:spacing w:before="1" w:line="197" w:lineRule="exact"/>
        <w:ind w:right="171"/>
        <w:jc w:val="right"/>
        <w:rPr>
          <w:rFonts w:ascii="Copperplate Gothic Light"/>
          <w:sz w:val="18"/>
        </w:rPr>
      </w:pPr>
      <w:r>
        <w:rPr>
          <w:rFonts w:ascii="Copperplate Gothic Light"/>
          <w:sz w:val="18"/>
        </w:rPr>
        <w:t>(800)</w:t>
      </w:r>
      <w:r>
        <w:rPr>
          <w:rFonts w:ascii="Copperplate Gothic Light"/>
          <w:spacing w:val="-1"/>
          <w:sz w:val="18"/>
        </w:rPr>
        <w:t xml:space="preserve"> </w:t>
      </w:r>
      <w:r>
        <w:rPr>
          <w:rFonts w:ascii="Copperplate Gothic Light"/>
          <w:sz w:val="18"/>
        </w:rPr>
        <w:t>382-</w:t>
      </w:r>
      <w:r>
        <w:rPr>
          <w:rFonts w:ascii="Copperplate Gothic Light"/>
          <w:spacing w:val="-4"/>
          <w:sz w:val="18"/>
        </w:rPr>
        <w:t>4880</w:t>
      </w:r>
    </w:p>
    <w:p w14:paraId="7FE0ED44" w14:textId="77777777" w:rsidR="00650FAB" w:rsidRDefault="00E96103" w:rsidP="00DC1B6E">
      <w:pPr>
        <w:ind w:right="173"/>
        <w:jc w:val="right"/>
        <w:rPr>
          <w:rFonts w:ascii="Copperplate Gothic Light"/>
          <w:sz w:val="18"/>
        </w:rPr>
      </w:pPr>
      <w:hyperlink r:id="rId9">
        <w:r>
          <w:rPr>
            <w:rFonts w:ascii="Copperplate Gothic Light"/>
            <w:spacing w:val="-2"/>
            <w:sz w:val="18"/>
          </w:rPr>
          <w:t>www.in.gov/dfi</w:t>
        </w:r>
      </w:hyperlink>
    </w:p>
    <w:p w14:paraId="72FB3F6A" w14:textId="3D33BE7A" w:rsidR="00650FAB" w:rsidRDefault="00E96103" w:rsidP="00DC1B6E">
      <w:pPr>
        <w:pStyle w:val="Heading1"/>
        <w:ind w:left="2357" w:right="2320" w:firstLine="912"/>
        <w:jc w:val="left"/>
        <w:rPr>
          <w:u w:val="none"/>
        </w:rPr>
      </w:pPr>
      <w:r>
        <w:rPr>
          <w:u w:val="none"/>
        </w:rPr>
        <w:t>Department of Financial</w:t>
      </w:r>
      <w:r>
        <w:rPr>
          <w:spacing w:val="40"/>
          <w:u w:val="none"/>
        </w:rPr>
        <w:t xml:space="preserve"> </w:t>
      </w:r>
      <w:r>
        <w:rPr>
          <w:u w:val="none"/>
        </w:rPr>
        <w:t>Institutions 202</w:t>
      </w:r>
      <w:r w:rsidR="009A77C3">
        <w:rPr>
          <w:u w:val="none"/>
        </w:rPr>
        <w:t>6</w:t>
      </w:r>
      <w:r>
        <w:rPr>
          <w:spacing w:val="80"/>
          <w:u w:val="none"/>
        </w:rPr>
        <w:t xml:space="preserve"> </w:t>
      </w:r>
      <w:r>
        <w:t>Indiana</w:t>
      </w:r>
      <w:r>
        <w:rPr>
          <w:spacing w:val="-9"/>
        </w:rPr>
        <w:t xml:space="preserve"> </w:t>
      </w:r>
      <w:r>
        <w:t>General</w:t>
      </w:r>
      <w:r>
        <w:rPr>
          <w:spacing w:val="-6"/>
        </w:rPr>
        <w:t xml:space="preserve"> </w:t>
      </w:r>
      <w:r>
        <w:t>Assembly</w:t>
      </w:r>
      <w:r>
        <w:rPr>
          <w:spacing w:val="-6"/>
        </w:rPr>
        <w:t xml:space="preserve"> </w:t>
      </w:r>
      <w:r>
        <w:t>Legislation</w:t>
      </w:r>
      <w:r>
        <w:rPr>
          <w:spacing w:val="-6"/>
        </w:rPr>
        <w:t xml:space="preserve"> </w:t>
      </w:r>
      <w:r>
        <w:t>of</w:t>
      </w:r>
      <w:r>
        <w:rPr>
          <w:spacing w:val="-6"/>
        </w:rPr>
        <w:t xml:space="preserve"> </w:t>
      </w:r>
      <w:r>
        <w:t>Interest</w:t>
      </w:r>
      <w:r>
        <w:rPr>
          <w:spacing w:val="-6"/>
        </w:rPr>
        <w:t xml:space="preserve"> </w:t>
      </w:r>
      <w:r>
        <w:t>Summary</w:t>
      </w:r>
    </w:p>
    <w:p w14:paraId="192A010D" w14:textId="77777777" w:rsidR="00DC1B6E" w:rsidRDefault="00DC1B6E" w:rsidP="00DC1B6E">
      <w:pPr>
        <w:pStyle w:val="BodyText"/>
        <w:ind w:left="287" w:right="254"/>
        <w:jc w:val="both"/>
      </w:pPr>
    </w:p>
    <w:p w14:paraId="51985A81" w14:textId="5037EF17" w:rsidR="00650FAB" w:rsidRDefault="00E96103" w:rsidP="00DE1665">
      <w:pPr>
        <w:pStyle w:val="BodyText"/>
        <w:ind w:left="287" w:right="254"/>
        <w:jc w:val="both"/>
      </w:pPr>
      <w:r>
        <w:t>The following is a summary of legislation adopted by the 202</w:t>
      </w:r>
      <w:r w:rsidR="00283457">
        <w:t>6</w:t>
      </w:r>
      <w:r>
        <w:t xml:space="preserve"> Indiana General Assembly</w:t>
      </w:r>
      <w:r w:rsidR="009A77C3">
        <w:t>,</w:t>
      </w:r>
      <w:r>
        <w:t xml:space="preserve"> which may interest the Indiana Department of Financial Institutions (“DFI”), its constituencies, staff, and Members. For additional information regarding any bill, the complete list of all legislation enacted or considered by the 202</w:t>
      </w:r>
      <w:r w:rsidR="00AC2CEB">
        <w:t>6</w:t>
      </w:r>
      <w:r>
        <w:t xml:space="preserve"> Indiana General Assembly may be found </w:t>
      </w:r>
      <w:hyperlink r:id="rId10">
        <w:r>
          <w:rPr>
            <w:color w:val="0000FF"/>
          </w:rPr>
          <w:t>here</w:t>
        </w:r>
      </w:hyperlink>
      <w:r>
        <w:t>.</w:t>
      </w:r>
      <w:r w:rsidR="00DE1665">
        <w:t xml:space="preserve"> </w:t>
      </w:r>
      <w:r w:rsidR="00243248">
        <w:t>The DFI did not have an agency bill in the 2026 legis</w:t>
      </w:r>
      <w:r w:rsidR="00C6536E">
        <w:t>lative session</w:t>
      </w:r>
      <w:r w:rsidR="00DE1665">
        <w:t>; however,</w:t>
      </w:r>
      <w:r w:rsidR="00C6536E">
        <w:t xml:space="preserve"> there were still several bills that impacted the Department</w:t>
      </w:r>
      <w:r w:rsidR="00AC2CEB">
        <w:t xml:space="preserve"> and its regulated entities.</w:t>
      </w:r>
    </w:p>
    <w:p w14:paraId="5CD4EF8A" w14:textId="77777777" w:rsidR="00650FAB" w:rsidRDefault="00650FAB" w:rsidP="00DC1B6E">
      <w:pPr>
        <w:pStyle w:val="BodyText"/>
      </w:pPr>
    </w:p>
    <w:p w14:paraId="3324A1A3" w14:textId="134C15BD" w:rsidR="003E1C29" w:rsidRDefault="00E96103" w:rsidP="003E1C29">
      <w:pPr>
        <w:pStyle w:val="BodyText"/>
        <w:ind w:left="287" w:right="249"/>
        <w:jc w:val="both"/>
        <w:rPr>
          <w:color w:val="0D0F1A"/>
        </w:rPr>
      </w:pPr>
      <w:r>
        <w:rPr>
          <w:color w:val="0D0F1A"/>
        </w:rPr>
        <w:t xml:space="preserve">The </w:t>
      </w:r>
      <w:r w:rsidR="00432B6D">
        <w:rPr>
          <w:color w:val="0D0F1A"/>
        </w:rPr>
        <w:t>summary below</w:t>
      </w:r>
      <w:r>
        <w:rPr>
          <w:color w:val="0D0F1A"/>
        </w:rPr>
        <w:t xml:space="preserve"> is not an exhaustive review of the bills, and interested parties are encouraged to review all provisions of the legislation and the newly enacted statutes in greater detail. While this publication intends to provide DFI-regulated industries, trade associations, attorneys, and the public with an overview of recently enacted legislation over which the DFI has regulatory and administrative authority, businesses are encouraged to seek legal counsel with questions regarding how the new laws</w:t>
      </w:r>
      <w:r w:rsidR="003E1C29">
        <w:rPr>
          <w:color w:val="0D0F1A"/>
          <w:spacing w:val="80"/>
        </w:rPr>
        <w:t xml:space="preserve"> </w:t>
      </w:r>
      <w:r>
        <w:rPr>
          <w:color w:val="0D0F1A"/>
        </w:rPr>
        <w:t>may impact a particular business model or product.</w:t>
      </w:r>
    </w:p>
    <w:p w14:paraId="5ADFC99F" w14:textId="77777777" w:rsidR="003E1C29" w:rsidRDefault="003E1C29" w:rsidP="003E1C29">
      <w:pPr>
        <w:pStyle w:val="BodyText"/>
        <w:ind w:left="287" w:right="249"/>
        <w:jc w:val="both"/>
        <w:rPr>
          <w:color w:val="0D0F1A"/>
        </w:rPr>
      </w:pPr>
    </w:p>
    <w:p w14:paraId="7582DE78" w14:textId="187328FA" w:rsidR="003E1C29" w:rsidRDefault="003E1C29" w:rsidP="003E1C29">
      <w:pPr>
        <w:pStyle w:val="BodyText"/>
        <w:ind w:left="287" w:right="249"/>
        <w:jc w:val="both"/>
        <w:rPr>
          <w:b/>
          <w:bCs/>
          <w:u w:val="single"/>
        </w:rPr>
      </w:pPr>
      <w:r>
        <w:rPr>
          <w:b/>
          <w:bCs/>
          <w:u w:val="single"/>
        </w:rPr>
        <w:t xml:space="preserve">SEA </w:t>
      </w:r>
      <w:r w:rsidR="00A201E5">
        <w:rPr>
          <w:b/>
          <w:bCs/>
          <w:u w:val="single"/>
        </w:rPr>
        <w:t>169—Reorganization of Consumer Lending Laws</w:t>
      </w:r>
    </w:p>
    <w:p w14:paraId="7ECD5047" w14:textId="77777777" w:rsidR="00A201E5" w:rsidRDefault="00A201E5" w:rsidP="003E1C29">
      <w:pPr>
        <w:pStyle w:val="BodyText"/>
        <w:ind w:left="287" w:right="249"/>
        <w:jc w:val="both"/>
        <w:rPr>
          <w:b/>
          <w:bCs/>
          <w:u w:val="single"/>
        </w:rPr>
      </w:pPr>
    </w:p>
    <w:p w14:paraId="45876EAE" w14:textId="741D230A" w:rsidR="00A201E5" w:rsidRDefault="00A201E5" w:rsidP="003E1C29">
      <w:pPr>
        <w:pStyle w:val="BodyText"/>
        <w:ind w:left="287" w:right="249"/>
        <w:jc w:val="both"/>
      </w:pPr>
      <w:r>
        <w:t xml:space="preserve">This bill repeals the statutes governing first lien mortgage </w:t>
      </w:r>
      <w:r w:rsidR="008B1BFF">
        <w:t>lending</w:t>
      </w:r>
      <w:r w:rsidR="00553354">
        <w:t xml:space="preserve"> (IC 24-4.4)</w:t>
      </w:r>
      <w:r w:rsidR="008B1BFF">
        <w:t xml:space="preserve">, </w:t>
      </w:r>
      <w:r w:rsidR="00230B55">
        <w:t>the Uniform Consumer Credit Code (“UCCC</w:t>
      </w:r>
      <w:r w:rsidR="001419F6">
        <w:t>”</w:t>
      </w:r>
      <w:r w:rsidR="00230B55">
        <w:t>)</w:t>
      </w:r>
      <w:r w:rsidR="00553354">
        <w:t xml:space="preserve"> (IC 24-4.5)</w:t>
      </w:r>
      <w:r w:rsidR="008B1BFF">
        <w:t>,</w:t>
      </w:r>
      <w:r w:rsidR="005B204A">
        <w:t xml:space="preserve"> including small loans,</w:t>
      </w:r>
      <w:r w:rsidR="008B1BFF">
        <w:t xml:space="preserve"> mortgage rescue protection fraud, </w:t>
      </w:r>
      <w:r w:rsidR="00C60141">
        <w:t xml:space="preserve">and home loan practices. </w:t>
      </w:r>
      <w:r w:rsidR="00661B8F">
        <w:t xml:space="preserve">It recodifies the repealed statutes in a new title of the Indiana Code, Title 37. </w:t>
      </w:r>
      <w:r w:rsidR="00010F65">
        <w:t xml:space="preserve">The bill did not contain any substantive changes to the UCCC or other laws. Rather, the intent of the bill was </w:t>
      </w:r>
      <w:r w:rsidR="00816360">
        <w:t xml:space="preserve">a recodification. </w:t>
      </w:r>
      <w:r w:rsidR="003463F3">
        <w:t>While there is broad language recognizing that contracts and other document</w:t>
      </w:r>
      <w:r w:rsidR="00C00E48">
        <w:t xml:space="preserve">s </w:t>
      </w:r>
      <w:proofErr w:type="gramStart"/>
      <w:r w:rsidR="00C00E48">
        <w:t>entered into</w:t>
      </w:r>
      <w:proofErr w:type="gramEnd"/>
      <w:r w:rsidR="00C00E48">
        <w:t xml:space="preserve"> under the old law are considered reference</w:t>
      </w:r>
      <w:r w:rsidR="005F01B6">
        <w:t>s</w:t>
      </w:r>
      <w:r w:rsidR="00C00E48">
        <w:t xml:space="preserve"> to the new code citations, </w:t>
      </w:r>
      <w:r w:rsidR="00BD7A59">
        <w:t>affected entities will need to review relevant documents and make updated code citations.</w:t>
      </w:r>
    </w:p>
    <w:p w14:paraId="7D29AE49" w14:textId="77777777" w:rsidR="00BD7A59" w:rsidRDefault="00BD7A59" w:rsidP="003E1C29">
      <w:pPr>
        <w:pStyle w:val="BodyText"/>
        <w:ind w:left="287" w:right="249"/>
        <w:jc w:val="both"/>
      </w:pPr>
    </w:p>
    <w:p w14:paraId="5EC6EC39" w14:textId="42D683A9" w:rsidR="00BD7A59" w:rsidRDefault="00BD7A59" w:rsidP="003E1C29">
      <w:pPr>
        <w:pStyle w:val="BodyText"/>
        <w:ind w:left="287" w:right="249"/>
        <w:jc w:val="both"/>
        <w:rPr>
          <w:b/>
          <w:bCs/>
          <w:u w:val="single"/>
        </w:rPr>
      </w:pPr>
      <w:r w:rsidRPr="00A339D5">
        <w:rPr>
          <w:b/>
          <w:bCs/>
          <w:u w:val="single"/>
        </w:rPr>
        <w:t>HEA 1116</w:t>
      </w:r>
      <w:r w:rsidR="00A339D5">
        <w:rPr>
          <w:b/>
          <w:bCs/>
          <w:u w:val="single"/>
        </w:rPr>
        <w:t>—Virtual Currency Kiosk Ban</w:t>
      </w:r>
    </w:p>
    <w:p w14:paraId="35EBE452" w14:textId="77777777" w:rsidR="00A339D5" w:rsidRDefault="00A339D5" w:rsidP="003E1C29">
      <w:pPr>
        <w:pStyle w:val="BodyText"/>
        <w:ind w:left="287" w:right="249"/>
        <w:jc w:val="both"/>
        <w:rPr>
          <w:b/>
          <w:bCs/>
          <w:u w:val="single"/>
        </w:rPr>
      </w:pPr>
    </w:p>
    <w:p w14:paraId="43D55D45" w14:textId="38DE69FD" w:rsidR="00A339D5" w:rsidRDefault="00A339D5" w:rsidP="003E1C29">
      <w:pPr>
        <w:pStyle w:val="BodyText"/>
        <w:ind w:left="287" w:right="249"/>
        <w:jc w:val="both"/>
      </w:pPr>
      <w:r w:rsidRPr="00683DE1">
        <w:t xml:space="preserve">This </w:t>
      </w:r>
      <w:r w:rsidR="00683DE1">
        <w:t xml:space="preserve">bill prohibits the operation of a virtual currency kiosk in Indiana. The bill was first introduced </w:t>
      </w:r>
      <w:r w:rsidR="004240F7">
        <w:t xml:space="preserve">as a new regulatory scheme that would have required the DFI to regulate virtual currency kiosks. However, as the bill advanced in the Senate, </w:t>
      </w:r>
      <w:r w:rsidR="006F7084">
        <w:t xml:space="preserve">the language was amended to become a ban. The law was declared an emergency and was effective upon passage. As a result, virtual currency kiosks have been banned in Indiana since </w:t>
      </w:r>
      <w:r w:rsidR="008C092E">
        <w:t>March 9, 2026. Indiana was the first state to pass such a ban, but there have now been other states following Indiana’s lead.</w:t>
      </w:r>
    </w:p>
    <w:p w14:paraId="0AF75B31" w14:textId="77777777" w:rsidR="00B240E0" w:rsidRDefault="00B240E0" w:rsidP="003E1C29">
      <w:pPr>
        <w:pStyle w:val="BodyText"/>
        <w:ind w:left="287" w:right="249"/>
        <w:jc w:val="both"/>
      </w:pPr>
    </w:p>
    <w:p w14:paraId="0AC5C333" w14:textId="7435EC7F" w:rsidR="00B240E0" w:rsidRDefault="00E50DFA" w:rsidP="003E1C29">
      <w:pPr>
        <w:pStyle w:val="BodyText"/>
        <w:ind w:left="287" w:right="249"/>
        <w:jc w:val="both"/>
        <w:rPr>
          <w:b/>
          <w:bCs/>
        </w:rPr>
      </w:pPr>
      <w:r>
        <w:rPr>
          <w:b/>
          <w:bCs/>
        </w:rPr>
        <w:t xml:space="preserve">OTHER BILLS OF INTEREST THAT WERE INTRODUCED BUT FAILED TO </w:t>
      </w:r>
      <w:r w:rsidR="00C26972">
        <w:rPr>
          <w:b/>
          <w:bCs/>
        </w:rPr>
        <w:t>PASS</w:t>
      </w:r>
    </w:p>
    <w:p w14:paraId="223B4EAB" w14:textId="77777777" w:rsidR="00E50DFA" w:rsidRDefault="00E50DFA" w:rsidP="003E1C29">
      <w:pPr>
        <w:pStyle w:val="BodyText"/>
        <w:ind w:left="287" w:right="249"/>
        <w:jc w:val="both"/>
        <w:rPr>
          <w:b/>
          <w:bCs/>
        </w:rPr>
      </w:pPr>
    </w:p>
    <w:p w14:paraId="30357E2E" w14:textId="71894258" w:rsidR="00341353" w:rsidRDefault="00341353" w:rsidP="003E1C29">
      <w:pPr>
        <w:pStyle w:val="BodyText"/>
        <w:ind w:left="287" w:right="249"/>
        <w:jc w:val="both"/>
        <w:rPr>
          <w:b/>
          <w:bCs/>
          <w:u w:val="single"/>
        </w:rPr>
      </w:pPr>
      <w:r>
        <w:rPr>
          <w:b/>
          <w:bCs/>
          <w:u w:val="single"/>
        </w:rPr>
        <w:t>HB 1215</w:t>
      </w:r>
      <w:r w:rsidR="002832D2">
        <w:rPr>
          <w:b/>
          <w:bCs/>
          <w:u w:val="single"/>
        </w:rPr>
        <w:t>—Regulation of Interchange Fees</w:t>
      </w:r>
    </w:p>
    <w:p w14:paraId="3979878B" w14:textId="77777777" w:rsidR="00341353" w:rsidRDefault="00341353" w:rsidP="003E1C29">
      <w:pPr>
        <w:pStyle w:val="BodyText"/>
        <w:ind w:left="287" w:right="249"/>
        <w:jc w:val="both"/>
        <w:rPr>
          <w:b/>
          <w:bCs/>
          <w:u w:val="single"/>
        </w:rPr>
      </w:pPr>
    </w:p>
    <w:p w14:paraId="163E76D8" w14:textId="04B23741" w:rsidR="002832D2" w:rsidRPr="002832D2" w:rsidRDefault="002832D2" w:rsidP="003E1C29">
      <w:pPr>
        <w:pStyle w:val="BodyText"/>
        <w:ind w:left="287" w:right="249"/>
        <w:jc w:val="both"/>
      </w:pPr>
      <w:r>
        <w:t xml:space="preserve">This bill </w:t>
      </w:r>
      <w:r w:rsidR="00DD56FB">
        <w:t xml:space="preserve">would have </w:t>
      </w:r>
      <w:r w:rsidR="003C0B7D">
        <w:t xml:space="preserve">limited payment card networks and depository institutions from implementing </w:t>
      </w:r>
      <w:r w:rsidR="00B21101">
        <w:t xml:space="preserve">certain </w:t>
      </w:r>
      <w:r w:rsidR="00B21101">
        <w:lastRenderedPageBreak/>
        <w:t>fee schedules that have been used by other card issuers.</w:t>
      </w:r>
      <w:r w:rsidR="00BD5056">
        <w:t xml:space="preserve"> The bill would also have </w:t>
      </w:r>
      <w:r w:rsidR="00550E7A">
        <w:t xml:space="preserve">restricted fees from being imposed on </w:t>
      </w:r>
      <w:r w:rsidR="00F675E4">
        <w:t>the portions of a payment transaction attributable to a</w:t>
      </w:r>
      <w:r w:rsidR="00B9706A">
        <w:t xml:space="preserve"> tax,</w:t>
      </w:r>
      <w:r w:rsidR="00F675E4">
        <w:t xml:space="preserve"> tax exempt product</w:t>
      </w:r>
      <w:r w:rsidR="00B9706A">
        <w:t xml:space="preserve">, regulatory fee, or gratuity. While this bill did not pass, the DFI will continue to </w:t>
      </w:r>
      <w:proofErr w:type="gramStart"/>
      <w:r w:rsidR="00B9706A">
        <w:t>monitor for</w:t>
      </w:r>
      <w:proofErr w:type="gramEnd"/>
      <w:r w:rsidR="00B9706A">
        <w:t xml:space="preserve"> other legislation in this area</w:t>
      </w:r>
      <w:r w:rsidR="00C508D2">
        <w:t xml:space="preserve"> </w:t>
      </w:r>
      <w:r w:rsidR="003975CF">
        <w:t>and</w:t>
      </w:r>
      <w:r w:rsidR="00C508D2">
        <w:t xml:space="preserve"> monitor litigation surrounding this issue and a similar bill that was passed in Illinois.</w:t>
      </w:r>
    </w:p>
    <w:p w14:paraId="48281521" w14:textId="77777777" w:rsidR="002832D2" w:rsidRDefault="002832D2" w:rsidP="003E1C29">
      <w:pPr>
        <w:pStyle w:val="BodyText"/>
        <w:ind w:left="287" w:right="249"/>
        <w:jc w:val="both"/>
        <w:rPr>
          <w:b/>
          <w:bCs/>
          <w:u w:val="single"/>
        </w:rPr>
      </w:pPr>
    </w:p>
    <w:p w14:paraId="08DD86D4" w14:textId="60635688" w:rsidR="00E50DFA" w:rsidRDefault="00E50DFA" w:rsidP="003E1C29">
      <w:pPr>
        <w:pStyle w:val="BodyText"/>
        <w:ind w:left="287" w:right="249"/>
        <w:jc w:val="both"/>
        <w:rPr>
          <w:b/>
          <w:bCs/>
          <w:u w:val="single"/>
        </w:rPr>
      </w:pPr>
      <w:r>
        <w:rPr>
          <w:b/>
          <w:bCs/>
          <w:u w:val="single"/>
        </w:rPr>
        <w:t>HB 1217</w:t>
      </w:r>
      <w:r w:rsidR="002832D2">
        <w:rPr>
          <w:b/>
          <w:bCs/>
          <w:u w:val="single"/>
        </w:rPr>
        <w:t>—</w:t>
      </w:r>
      <w:r>
        <w:rPr>
          <w:b/>
          <w:bCs/>
          <w:u w:val="single"/>
        </w:rPr>
        <w:t>Regulation of Stablecoin</w:t>
      </w:r>
    </w:p>
    <w:p w14:paraId="35F3365D" w14:textId="77777777" w:rsidR="00DE1519" w:rsidRDefault="00DE1519" w:rsidP="003E1C29">
      <w:pPr>
        <w:pStyle w:val="BodyText"/>
        <w:ind w:left="287" w:right="249"/>
        <w:jc w:val="both"/>
        <w:rPr>
          <w:b/>
          <w:bCs/>
          <w:u w:val="single"/>
        </w:rPr>
      </w:pPr>
    </w:p>
    <w:p w14:paraId="56BA9047" w14:textId="77777777" w:rsidR="00DE1519" w:rsidRDefault="00DE1519" w:rsidP="00DE1519">
      <w:pPr>
        <w:pStyle w:val="BodyText"/>
        <w:ind w:left="287" w:right="249"/>
        <w:jc w:val="both"/>
      </w:pPr>
      <w:r>
        <w:t>This bill would have established a state path for stablecoin issuers to be licensed by the DFI. The bill mirrored language in the Federal GENIUS Act, which established a framework for regulating payment stablecoin issuers. The bill ultimately failed to pass, but the DFI is continuing conversations and watching for any future legislation in this area.</w:t>
      </w:r>
    </w:p>
    <w:p w14:paraId="21BD1FFB" w14:textId="77777777" w:rsidR="00DE1519" w:rsidRDefault="00DE1519" w:rsidP="00DE1519">
      <w:pPr>
        <w:pStyle w:val="BodyText"/>
        <w:ind w:right="249"/>
        <w:jc w:val="both"/>
        <w:rPr>
          <w:b/>
          <w:bCs/>
          <w:u w:val="single"/>
        </w:rPr>
      </w:pPr>
    </w:p>
    <w:p w14:paraId="36370354" w14:textId="77C8D4D0" w:rsidR="00DE1519" w:rsidRDefault="00DE1519" w:rsidP="003E1C29">
      <w:pPr>
        <w:pStyle w:val="BodyText"/>
        <w:ind w:left="287" w:right="249"/>
        <w:jc w:val="both"/>
        <w:rPr>
          <w:b/>
          <w:bCs/>
          <w:u w:val="single"/>
        </w:rPr>
      </w:pPr>
      <w:r>
        <w:rPr>
          <w:b/>
          <w:bCs/>
          <w:u w:val="single"/>
        </w:rPr>
        <w:t>SB 289—Public Depositories</w:t>
      </w:r>
    </w:p>
    <w:p w14:paraId="5FC68EFC" w14:textId="77777777" w:rsidR="005819E4" w:rsidRDefault="005819E4" w:rsidP="003E1C29">
      <w:pPr>
        <w:pStyle w:val="BodyText"/>
        <w:ind w:left="287" w:right="249"/>
        <w:jc w:val="both"/>
        <w:rPr>
          <w:b/>
          <w:bCs/>
          <w:u w:val="single"/>
        </w:rPr>
      </w:pPr>
    </w:p>
    <w:p w14:paraId="4B8FCED9" w14:textId="5F1760E3" w:rsidR="00650FAB" w:rsidRDefault="001B3C63" w:rsidP="00767C16">
      <w:pPr>
        <w:pStyle w:val="BodyText"/>
        <w:ind w:left="287" w:right="249"/>
        <w:jc w:val="both"/>
      </w:pPr>
      <w:r>
        <w:t>This bill</w:t>
      </w:r>
      <w:r w:rsidR="00EF1D1C">
        <w:t xml:space="preserve"> attempted to modify the requirements for depositories to be eligible to receive public deposits</w:t>
      </w:r>
      <w:r w:rsidR="00EB591E">
        <w:t xml:space="preserve">—allowing public entities to deposit public funds at institutions </w:t>
      </w:r>
      <w:r w:rsidR="006F52F1">
        <w:t>that are geographically further away from the public institution</w:t>
      </w:r>
      <w:r w:rsidR="00A230E1">
        <w:t>. The bill did not pass but the DFI continues to</w:t>
      </w:r>
      <w:r w:rsidR="00767C16">
        <w:t xml:space="preserve"> provide information to relevant parties as requested.</w:t>
      </w:r>
    </w:p>
    <w:sectPr w:rsidR="00650FAB">
      <w:footerReference w:type="default" r:id="rId11"/>
      <w:pgSz w:w="12240" w:h="15840"/>
      <w:pgMar w:top="94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7B447" w14:textId="77777777" w:rsidR="00CF3902" w:rsidRDefault="00CF3902" w:rsidP="00767C16">
      <w:r>
        <w:separator/>
      </w:r>
    </w:p>
  </w:endnote>
  <w:endnote w:type="continuationSeparator" w:id="0">
    <w:p w14:paraId="0B3733FA" w14:textId="77777777" w:rsidR="00CF3902" w:rsidRDefault="00CF3902" w:rsidP="0076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294027"/>
      <w:docPartObj>
        <w:docPartGallery w:val="Page Numbers (Bottom of Page)"/>
        <w:docPartUnique/>
      </w:docPartObj>
    </w:sdtPr>
    <w:sdtEndPr>
      <w:rPr>
        <w:color w:val="7F7F7F" w:themeColor="background1" w:themeShade="7F"/>
        <w:spacing w:val="60"/>
      </w:rPr>
    </w:sdtEndPr>
    <w:sdtContent>
      <w:p w14:paraId="15CD24FF" w14:textId="6AE9B49B" w:rsidR="00767C16" w:rsidRDefault="00767C1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016E27B" w14:textId="77777777" w:rsidR="00767C16" w:rsidRDefault="00767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6A414" w14:textId="77777777" w:rsidR="00CF3902" w:rsidRDefault="00CF3902" w:rsidP="00767C16">
      <w:r>
        <w:separator/>
      </w:r>
    </w:p>
  </w:footnote>
  <w:footnote w:type="continuationSeparator" w:id="0">
    <w:p w14:paraId="11B1CB6F" w14:textId="77777777" w:rsidR="00CF3902" w:rsidRDefault="00CF3902" w:rsidP="00767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27786"/>
    <w:multiLevelType w:val="hybridMultilevel"/>
    <w:tmpl w:val="3CF26D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74474F8"/>
    <w:multiLevelType w:val="hybridMultilevel"/>
    <w:tmpl w:val="2E2EE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44393C"/>
    <w:multiLevelType w:val="hybridMultilevel"/>
    <w:tmpl w:val="F20C7132"/>
    <w:lvl w:ilvl="0" w:tplc="1D6048CA">
      <w:start w:val="1"/>
      <w:numFmt w:val="decimal"/>
      <w:lvlText w:val="%1."/>
      <w:lvlJc w:val="left"/>
      <w:pPr>
        <w:ind w:left="648" w:hanging="361"/>
      </w:pPr>
      <w:rPr>
        <w:rFonts w:hint="default"/>
        <w:spacing w:val="0"/>
        <w:w w:val="100"/>
        <w:lang w:val="en-US" w:eastAsia="en-US" w:bidi="ar-SA"/>
      </w:rPr>
    </w:lvl>
    <w:lvl w:ilvl="1" w:tplc="DD64FD1A">
      <w:numFmt w:val="bullet"/>
      <w:lvlText w:val=""/>
      <w:lvlJc w:val="left"/>
      <w:pPr>
        <w:ind w:left="1008" w:hanging="360"/>
      </w:pPr>
      <w:rPr>
        <w:rFonts w:ascii="Symbol" w:eastAsia="Symbol" w:hAnsi="Symbol" w:cs="Symbol" w:hint="default"/>
        <w:spacing w:val="0"/>
        <w:w w:val="100"/>
        <w:lang w:val="en-US" w:eastAsia="en-US" w:bidi="ar-SA"/>
      </w:rPr>
    </w:lvl>
    <w:lvl w:ilvl="2" w:tplc="93E2D6BA">
      <w:numFmt w:val="bullet"/>
      <w:lvlText w:val="•"/>
      <w:lvlJc w:val="left"/>
      <w:pPr>
        <w:ind w:left="2088" w:hanging="360"/>
      </w:pPr>
      <w:rPr>
        <w:rFonts w:hint="default"/>
        <w:lang w:val="en-US" w:eastAsia="en-US" w:bidi="ar-SA"/>
      </w:rPr>
    </w:lvl>
    <w:lvl w:ilvl="3" w:tplc="577A6EC8">
      <w:numFmt w:val="bullet"/>
      <w:lvlText w:val="•"/>
      <w:lvlJc w:val="left"/>
      <w:pPr>
        <w:ind w:left="3177" w:hanging="360"/>
      </w:pPr>
      <w:rPr>
        <w:rFonts w:hint="default"/>
        <w:lang w:val="en-US" w:eastAsia="en-US" w:bidi="ar-SA"/>
      </w:rPr>
    </w:lvl>
    <w:lvl w:ilvl="4" w:tplc="4F0CD6F4">
      <w:numFmt w:val="bullet"/>
      <w:lvlText w:val="•"/>
      <w:lvlJc w:val="left"/>
      <w:pPr>
        <w:ind w:left="4266" w:hanging="360"/>
      </w:pPr>
      <w:rPr>
        <w:rFonts w:hint="default"/>
        <w:lang w:val="en-US" w:eastAsia="en-US" w:bidi="ar-SA"/>
      </w:rPr>
    </w:lvl>
    <w:lvl w:ilvl="5" w:tplc="04FEC4CC">
      <w:numFmt w:val="bullet"/>
      <w:lvlText w:val="•"/>
      <w:lvlJc w:val="left"/>
      <w:pPr>
        <w:ind w:left="5355" w:hanging="360"/>
      </w:pPr>
      <w:rPr>
        <w:rFonts w:hint="default"/>
        <w:lang w:val="en-US" w:eastAsia="en-US" w:bidi="ar-SA"/>
      </w:rPr>
    </w:lvl>
    <w:lvl w:ilvl="6" w:tplc="3AAE6CF0">
      <w:numFmt w:val="bullet"/>
      <w:lvlText w:val="•"/>
      <w:lvlJc w:val="left"/>
      <w:pPr>
        <w:ind w:left="6444" w:hanging="360"/>
      </w:pPr>
      <w:rPr>
        <w:rFonts w:hint="default"/>
        <w:lang w:val="en-US" w:eastAsia="en-US" w:bidi="ar-SA"/>
      </w:rPr>
    </w:lvl>
    <w:lvl w:ilvl="7" w:tplc="D2965C4E">
      <w:numFmt w:val="bullet"/>
      <w:lvlText w:val="•"/>
      <w:lvlJc w:val="left"/>
      <w:pPr>
        <w:ind w:left="7533" w:hanging="360"/>
      </w:pPr>
      <w:rPr>
        <w:rFonts w:hint="default"/>
        <w:lang w:val="en-US" w:eastAsia="en-US" w:bidi="ar-SA"/>
      </w:rPr>
    </w:lvl>
    <w:lvl w:ilvl="8" w:tplc="74F20C58">
      <w:numFmt w:val="bullet"/>
      <w:lvlText w:val="•"/>
      <w:lvlJc w:val="left"/>
      <w:pPr>
        <w:ind w:left="8622" w:hanging="360"/>
      </w:pPr>
      <w:rPr>
        <w:rFonts w:hint="default"/>
        <w:lang w:val="en-US" w:eastAsia="en-US" w:bidi="ar-SA"/>
      </w:rPr>
    </w:lvl>
  </w:abstractNum>
  <w:abstractNum w:abstractNumId="3" w15:restartNumberingAfterBreak="0">
    <w:nsid w:val="746A4F95"/>
    <w:multiLevelType w:val="hybridMultilevel"/>
    <w:tmpl w:val="386E629A"/>
    <w:lvl w:ilvl="0" w:tplc="04090001">
      <w:start w:val="1"/>
      <w:numFmt w:val="bullet"/>
      <w:lvlText w:val=""/>
      <w:lvlJc w:val="left"/>
      <w:pPr>
        <w:ind w:left="648" w:hanging="361"/>
      </w:pPr>
      <w:rPr>
        <w:rFonts w:ascii="Symbol" w:hAnsi="Symbol" w:hint="default"/>
        <w:b w:val="0"/>
        <w:bCs w:val="0"/>
        <w:i w:val="0"/>
        <w:iCs w:val="0"/>
        <w:spacing w:val="0"/>
        <w:w w:val="100"/>
        <w:sz w:val="24"/>
        <w:szCs w:val="24"/>
        <w:lang w:val="en-US" w:eastAsia="en-US" w:bidi="ar-SA"/>
      </w:rPr>
    </w:lvl>
    <w:lvl w:ilvl="1" w:tplc="D4D8DE18">
      <w:numFmt w:val="bullet"/>
      <w:lvlText w:val="•"/>
      <w:lvlJc w:val="left"/>
      <w:pPr>
        <w:ind w:left="1656" w:hanging="361"/>
      </w:pPr>
      <w:rPr>
        <w:rFonts w:hint="default"/>
        <w:lang w:val="en-US" w:eastAsia="en-US" w:bidi="ar-SA"/>
      </w:rPr>
    </w:lvl>
    <w:lvl w:ilvl="2" w:tplc="E250C192">
      <w:numFmt w:val="bullet"/>
      <w:lvlText w:val="•"/>
      <w:lvlJc w:val="left"/>
      <w:pPr>
        <w:ind w:left="2672" w:hanging="361"/>
      </w:pPr>
      <w:rPr>
        <w:rFonts w:hint="default"/>
        <w:lang w:val="en-US" w:eastAsia="en-US" w:bidi="ar-SA"/>
      </w:rPr>
    </w:lvl>
    <w:lvl w:ilvl="3" w:tplc="7128ADD2">
      <w:numFmt w:val="bullet"/>
      <w:lvlText w:val="•"/>
      <w:lvlJc w:val="left"/>
      <w:pPr>
        <w:ind w:left="3688" w:hanging="361"/>
      </w:pPr>
      <w:rPr>
        <w:rFonts w:hint="default"/>
        <w:lang w:val="en-US" w:eastAsia="en-US" w:bidi="ar-SA"/>
      </w:rPr>
    </w:lvl>
    <w:lvl w:ilvl="4" w:tplc="E00A951E">
      <w:numFmt w:val="bullet"/>
      <w:lvlText w:val="•"/>
      <w:lvlJc w:val="left"/>
      <w:pPr>
        <w:ind w:left="4704" w:hanging="361"/>
      </w:pPr>
      <w:rPr>
        <w:rFonts w:hint="default"/>
        <w:lang w:val="en-US" w:eastAsia="en-US" w:bidi="ar-SA"/>
      </w:rPr>
    </w:lvl>
    <w:lvl w:ilvl="5" w:tplc="0636A5E2">
      <w:numFmt w:val="bullet"/>
      <w:lvlText w:val="•"/>
      <w:lvlJc w:val="left"/>
      <w:pPr>
        <w:ind w:left="5720" w:hanging="361"/>
      </w:pPr>
      <w:rPr>
        <w:rFonts w:hint="default"/>
        <w:lang w:val="en-US" w:eastAsia="en-US" w:bidi="ar-SA"/>
      </w:rPr>
    </w:lvl>
    <w:lvl w:ilvl="6" w:tplc="558AFD88">
      <w:numFmt w:val="bullet"/>
      <w:lvlText w:val="•"/>
      <w:lvlJc w:val="left"/>
      <w:pPr>
        <w:ind w:left="6736" w:hanging="361"/>
      </w:pPr>
      <w:rPr>
        <w:rFonts w:hint="default"/>
        <w:lang w:val="en-US" w:eastAsia="en-US" w:bidi="ar-SA"/>
      </w:rPr>
    </w:lvl>
    <w:lvl w:ilvl="7" w:tplc="E26CE9CE">
      <w:numFmt w:val="bullet"/>
      <w:lvlText w:val="•"/>
      <w:lvlJc w:val="left"/>
      <w:pPr>
        <w:ind w:left="7752" w:hanging="361"/>
      </w:pPr>
      <w:rPr>
        <w:rFonts w:hint="default"/>
        <w:lang w:val="en-US" w:eastAsia="en-US" w:bidi="ar-SA"/>
      </w:rPr>
    </w:lvl>
    <w:lvl w:ilvl="8" w:tplc="28B864A6">
      <w:numFmt w:val="bullet"/>
      <w:lvlText w:val="•"/>
      <w:lvlJc w:val="left"/>
      <w:pPr>
        <w:ind w:left="8768" w:hanging="361"/>
      </w:pPr>
      <w:rPr>
        <w:rFonts w:hint="default"/>
        <w:lang w:val="en-US" w:eastAsia="en-US" w:bidi="ar-SA"/>
      </w:rPr>
    </w:lvl>
  </w:abstractNum>
  <w:abstractNum w:abstractNumId="4" w15:restartNumberingAfterBreak="0">
    <w:nsid w:val="7AC360B5"/>
    <w:multiLevelType w:val="hybridMultilevel"/>
    <w:tmpl w:val="81040AF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21330036">
    <w:abstractNumId w:val="3"/>
  </w:num>
  <w:num w:numId="2" w16cid:durableId="1594046333">
    <w:abstractNumId w:val="2"/>
  </w:num>
  <w:num w:numId="3" w16cid:durableId="2128039046">
    <w:abstractNumId w:val="4"/>
  </w:num>
  <w:num w:numId="4" w16cid:durableId="1550723110">
    <w:abstractNumId w:val="1"/>
  </w:num>
  <w:num w:numId="5" w16cid:durableId="1978804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1MjWyNLA0NDU0sDRX0lEKTi0uzszPAykwrAUA2HsWiSwAAAA="/>
  </w:docVars>
  <w:rsids>
    <w:rsidRoot w:val="00650FAB"/>
    <w:rsid w:val="00002041"/>
    <w:rsid w:val="00010F65"/>
    <w:rsid w:val="000A31B1"/>
    <w:rsid w:val="001419F6"/>
    <w:rsid w:val="001816AB"/>
    <w:rsid w:val="00185A64"/>
    <w:rsid w:val="001B3C63"/>
    <w:rsid w:val="001B4B6B"/>
    <w:rsid w:val="001C0F08"/>
    <w:rsid w:val="001E2434"/>
    <w:rsid w:val="00230B55"/>
    <w:rsid w:val="00243248"/>
    <w:rsid w:val="0027088B"/>
    <w:rsid w:val="002832D2"/>
    <w:rsid w:val="00283457"/>
    <w:rsid w:val="00285853"/>
    <w:rsid w:val="002942DF"/>
    <w:rsid w:val="002A3AED"/>
    <w:rsid w:val="003026F0"/>
    <w:rsid w:val="00341353"/>
    <w:rsid w:val="00345D6F"/>
    <w:rsid w:val="003463F3"/>
    <w:rsid w:val="00371AEB"/>
    <w:rsid w:val="00372351"/>
    <w:rsid w:val="003975CF"/>
    <w:rsid w:val="003C0B7D"/>
    <w:rsid w:val="003C3332"/>
    <w:rsid w:val="003C4197"/>
    <w:rsid w:val="003C5975"/>
    <w:rsid w:val="003D58C1"/>
    <w:rsid w:val="003E1C29"/>
    <w:rsid w:val="003F6E06"/>
    <w:rsid w:val="004240F7"/>
    <w:rsid w:val="00432B6D"/>
    <w:rsid w:val="00435513"/>
    <w:rsid w:val="004406BA"/>
    <w:rsid w:val="00476220"/>
    <w:rsid w:val="004A200B"/>
    <w:rsid w:val="004D2BDD"/>
    <w:rsid w:val="005169EB"/>
    <w:rsid w:val="00547CCC"/>
    <w:rsid w:val="00550E7A"/>
    <w:rsid w:val="00553354"/>
    <w:rsid w:val="005623CF"/>
    <w:rsid w:val="005732C9"/>
    <w:rsid w:val="005819E4"/>
    <w:rsid w:val="005B204A"/>
    <w:rsid w:val="005D0C2D"/>
    <w:rsid w:val="005F01B6"/>
    <w:rsid w:val="005F1FDE"/>
    <w:rsid w:val="006358B0"/>
    <w:rsid w:val="00646990"/>
    <w:rsid w:val="00650FAB"/>
    <w:rsid w:val="00661B8F"/>
    <w:rsid w:val="00683DE1"/>
    <w:rsid w:val="00694141"/>
    <w:rsid w:val="006F52F1"/>
    <w:rsid w:val="006F7084"/>
    <w:rsid w:val="00756F1C"/>
    <w:rsid w:val="00767C16"/>
    <w:rsid w:val="00771D3F"/>
    <w:rsid w:val="007A6524"/>
    <w:rsid w:val="00816360"/>
    <w:rsid w:val="00820E2B"/>
    <w:rsid w:val="00832027"/>
    <w:rsid w:val="00837FBE"/>
    <w:rsid w:val="00845939"/>
    <w:rsid w:val="00880932"/>
    <w:rsid w:val="008B1BFF"/>
    <w:rsid w:val="008C092E"/>
    <w:rsid w:val="008C23BE"/>
    <w:rsid w:val="008D540B"/>
    <w:rsid w:val="00977D8A"/>
    <w:rsid w:val="00981CB4"/>
    <w:rsid w:val="009A77C3"/>
    <w:rsid w:val="009C14CB"/>
    <w:rsid w:val="009D476A"/>
    <w:rsid w:val="009F4705"/>
    <w:rsid w:val="00A0099E"/>
    <w:rsid w:val="00A201E5"/>
    <w:rsid w:val="00A230E1"/>
    <w:rsid w:val="00A339D5"/>
    <w:rsid w:val="00A53BB9"/>
    <w:rsid w:val="00A73342"/>
    <w:rsid w:val="00AA275B"/>
    <w:rsid w:val="00AC2CEB"/>
    <w:rsid w:val="00AE37F2"/>
    <w:rsid w:val="00AF7AE3"/>
    <w:rsid w:val="00B21101"/>
    <w:rsid w:val="00B240E0"/>
    <w:rsid w:val="00B56BF1"/>
    <w:rsid w:val="00B7546B"/>
    <w:rsid w:val="00B87463"/>
    <w:rsid w:val="00B93951"/>
    <w:rsid w:val="00B9706A"/>
    <w:rsid w:val="00BA31C4"/>
    <w:rsid w:val="00BD5056"/>
    <w:rsid w:val="00BD7A59"/>
    <w:rsid w:val="00C00D50"/>
    <w:rsid w:val="00C00E48"/>
    <w:rsid w:val="00C26972"/>
    <w:rsid w:val="00C508D2"/>
    <w:rsid w:val="00C60141"/>
    <w:rsid w:val="00C6536E"/>
    <w:rsid w:val="00CA0815"/>
    <w:rsid w:val="00CC586E"/>
    <w:rsid w:val="00CC67C6"/>
    <w:rsid w:val="00CD7717"/>
    <w:rsid w:val="00CF1522"/>
    <w:rsid w:val="00CF3902"/>
    <w:rsid w:val="00DC1B6E"/>
    <w:rsid w:val="00DD56FB"/>
    <w:rsid w:val="00DE1519"/>
    <w:rsid w:val="00DE1665"/>
    <w:rsid w:val="00E13F90"/>
    <w:rsid w:val="00E41E27"/>
    <w:rsid w:val="00E50DFA"/>
    <w:rsid w:val="00E84D1B"/>
    <w:rsid w:val="00E8700F"/>
    <w:rsid w:val="00E96103"/>
    <w:rsid w:val="00EB591E"/>
    <w:rsid w:val="00EC65AA"/>
    <w:rsid w:val="00ED6A73"/>
    <w:rsid w:val="00EF1D1C"/>
    <w:rsid w:val="00EF7D4B"/>
    <w:rsid w:val="00F20A75"/>
    <w:rsid w:val="00F21CC6"/>
    <w:rsid w:val="00F22A4A"/>
    <w:rsid w:val="00F675E4"/>
    <w:rsid w:val="00F81A0E"/>
    <w:rsid w:val="00FB1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564E"/>
  <w15:docId w15:val="{746903DE-BE03-4245-AC32-08EA212F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7"/>
      <w:jc w:val="both"/>
      <w:outlineLvl w:val="0"/>
    </w:pPr>
    <w:rPr>
      <w:b/>
      <w:bCs/>
      <w:sz w:val="24"/>
      <w:szCs w:val="24"/>
      <w:u w:val="single" w:color="000000"/>
    </w:rPr>
  </w:style>
  <w:style w:type="paragraph" w:styleId="Heading3">
    <w:name w:val="heading 3"/>
    <w:basedOn w:val="Normal"/>
    <w:next w:val="Normal"/>
    <w:link w:val="Heading3Char"/>
    <w:uiPriority w:val="9"/>
    <w:semiHidden/>
    <w:unhideWhenUsed/>
    <w:qFormat/>
    <w:rsid w:val="002942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48" w:hanging="361"/>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2942DF"/>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2942DF"/>
    <w:rPr>
      <w:b/>
      <w:bCs/>
    </w:rPr>
  </w:style>
  <w:style w:type="paragraph" w:styleId="NormalWeb">
    <w:name w:val="Normal (Web)"/>
    <w:basedOn w:val="Normal"/>
    <w:uiPriority w:val="99"/>
    <w:semiHidden/>
    <w:unhideWhenUsed/>
    <w:rsid w:val="002942DF"/>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767C16"/>
    <w:pPr>
      <w:tabs>
        <w:tab w:val="center" w:pos="4680"/>
        <w:tab w:val="right" w:pos="9360"/>
      </w:tabs>
    </w:pPr>
  </w:style>
  <w:style w:type="character" w:customStyle="1" w:styleId="HeaderChar">
    <w:name w:val="Header Char"/>
    <w:basedOn w:val="DefaultParagraphFont"/>
    <w:link w:val="Header"/>
    <w:uiPriority w:val="99"/>
    <w:rsid w:val="00767C16"/>
    <w:rPr>
      <w:rFonts w:ascii="Times New Roman" w:eastAsia="Times New Roman" w:hAnsi="Times New Roman" w:cs="Times New Roman"/>
    </w:rPr>
  </w:style>
  <w:style w:type="paragraph" w:styleId="Footer">
    <w:name w:val="footer"/>
    <w:basedOn w:val="Normal"/>
    <w:link w:val="FooterChar"/>
    <w:uiPriority w:val="99"/>
    <w:unhideWhenUsed/>
    <w:rsid w:val="00767C16"/>
    <w:pPr>
      <w:tabs>
        <w:tab w:val="center" w:pos="4680"/>
        <w:tab w:val="right" w:pos="9360"/>
      </w:tabs>
    </w:pPr>
  </w:style>
  <w:style w:type="character" w:customStyle="1" w:styleId="FooterChar">
    <w:name w:val="Footer Char"/>
    <w:basedOn w:val="DefaultParagraphFont"/>
    <w:link w:val="Footer"/>
    <w:uiPriority w:val="99"/>
    <w:rsid w:val="00767C1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ga.in.gov/legislative/2026/bills" TargetMode="External"/><Relationship Id="rId4" Type="http://schemas.openxmlformats.org/officeDocument/2006/relationships/webSettings" Target="webSettings.xml"/><Relationship Id="rId9" Type="http://schemas.openxmlformats.org/officeDocument/2006/relationships/hyperlink" Target="http://www.in.gov/d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3546</Characters>
  <Application>Microsoft Office Word</Application>
  <DocSecurity>4</DocSecurity>
  <Lines>29</Lines>
  <Paragraphs>8</Paragraphs>
  <ScaleCrop>false</ScaleCrop>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Smith</dc:creator>
  <cp:lastModifiedBy>Miller, Konnor L</cp:lastModifiedBy>
  <cp:revision>2</cp:revision>
  <dcterms:created xsi:type="dcterms:W3CDTF">2026-08-06T21:35:00Z</dcterms:created>
  <dcterms:modified xsi:type="dcterms:W3CDTF">2026-08-06T21:35:00Z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2024-04-23T00:00:00Z</vt:filetime>
  </property>
  <property fmtid="{D5CDD505-2E9C-101B-9397-08002B2CF9AE}" pid="3" name="Creator">
    <vt:lpwstr>Microsoft® Word for Microsoft 365</vt:lpwstr>
  </property>
  <property fmtid="{D5CDD505-2E9C-101B-9397-08002B2CF9AE}" pid="4" name="LastSaved">
    <vt:filetime>2026-03-31T00:00:00Z</vt:filetime>
  </property>
  <property fmtid="{D5CDD505-2E9C-101B-9397-08002B2CF9AE}" pid="5" name="Producer">
    <vt:lpwstr>Microsoft® Word for Microsoft 365</vt:lpwstr>
  </property>
  <property fmtid="{D5CDD505-2E9C-101B-9397-08002B2CF9AE}" pid="6" name="GrammarlyDocumentId">
    <vt:lpwstr>6b02f6c0-2c4a-4b0a-980a-c8fd20d0c020</vt:lpwstr>
  </property>
</Properties>
</file>